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477857" w:rsidRDefault="006160D2" w:rsidP="005D04E4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 xml:space="preserve">- </w:t>
      </w:r>
      <w:r w:rsidR="00477857" w:rsidRPr="00477857">
        <w:rPr>
          <w:rFonts w:ascii="Palatino Linotype" w:hAnsi="Palatino Linotype"/>
          <w:szCs w:val="24"/>
          <w:lang w:val="az-Latn-AZ"/>
        </w:rPr>
        <w:t>Əmanətlərin Sığortalanması Fondu Fond və ləğvetməsində olan bankların bütün binalarında internet və data trafikinin filtrasiyasını təmin etmək məqsədi ilə “FortiGate” lisenziyasının satınalınması ilə bağlı  bağlı kotirovka sorğusu elan edir.</w:t>
      </w: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göstərilməlidir.</w:t>
      </w:r>
    </w:p>
    <w:p w:rsidR="004760F6" w:rsidRPr="005D04E4" w:rsidRDefault="004760F6" w:rsidP="004760F6">
      <w:pPr>
        <w:keepNext/>
        <w:keepLines/>
        <w:spacing w:after="257" w:line="256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2" w:name="bookmark5"/>
      <w:r w:rsidRPr="005D04E4">
        <w:rPr>
          <w:rFonts w:ascii="Palatino Linotype" w:hAnsi="Palatino Linotype" w:cs="Arial"/>
          <w:b/>
          <w:sz w:val="22"/>
          <w:lang w:val="az-Latn-AZ"/>
        </w:rPr>
        <w:t>Göstəriləcək xidmətlər Kotirovka sorğusuna Əlavə</w:t>
      </w:r>
      <w:r w:rsidR="00BB58CA">
        <w:rPr>
          <w:rFonts w:ascii="Palatino Linotype" w:hAnsi="Palatino Linotype" w:cs="Arial"/>
          <w:b/>
          <w:sz w:val="22"/>
          <w:lang w:val="az-Latn-AZ"/>
        </w:rPr>
        <w:t xml:space="preserve"> 1 və 2-də</w:t>
      </w:r>
      <w:r w:rsidRPr="005D04E4">
        <w:rPr>
          <w:rFonts w:ascii="Palatino Linotype" w:hAnsi="Palatino Linotype" w:cs="Arial"/>
          <w:b/>
          <w:sz w:val="22"/>
          <w:lang w:val="az-Latn-AZ"/>
        </w:rPr>
        <w:t xml:space="preserve"> göstərilən tələblərə cavab verməlidir.</w:t>
      </w:r>
      <w:bookmarkEnd w:id="2"/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3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>28 oktyabr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3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>28 oktyabr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4760F6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Tibbi sığorta xidməti ilə bağlı ən sərfəli qiymət və təklif vermiş iddiaçı kotirovka prosedurunun qalibi müəyyən olunacaqdır.</w:t>
      </w:r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p w:rsidR="00BB58CA" w:rsidRPr="00BB58CA" w:rsidRDefault="00BB58CA" w:rsidP="00BB58CA">
      <w:pPr>
        <w:rPr>
          <w:lang w:val="az-Latn-AZ"/>
        </w:rPr>
      </w:pPr>
      <w:bookmarkStart w:id="5" w:name="_GoBack"/>
      <w:bookmarkEnd w:id="4"/>
      <w:bookmarkEnd w:id="5"/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24" w:rsidRDefault="001A7F24" w:rsidP="004760F6">
      <w:r>
        <w:separator/>
      </w:r>
    </w:p>
  </w:endnote>
  <w:endnote w:type="continuationSeparator" w:id="0">
    <w:p w:rsidR="001A7F24" w:rsidRDefault="001A7F24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24" w:rsidRDefault="001A7F24" w:rsidP="004760F6">
      <w:r>
        <w:separator/>
      </w:r>
    </w:p>
  </w:footnote>
  <w:footnote w:type="continuationSeparator" w:id="0">
    <w:p w:rsidR="001A7F24" w:rsidRDefault="001A7F24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66CDA"/>
    <w:rsid w:val="001A7F24"/>
    <w:rsid w:val="0021378C"/>
    <w:rsid w:val="00273534"/>
    <w:rsid w:val="002835C8"/>
    <w:rsid w:val="002B5399"/>
    <w:rsid w:val="00395476"/>
    <w:rsid w:val="004760F6"/>
    <w:rsid w:val="00477857"/>
    <w:rsid w:val="00494B43"/>
    <w:rsid w:val="004A7A3F"/>
    <w:rsid w:val="00511237"/>
    <w:rsid w:val="0052339B"/>
    <w:rsid w:val="005D04E4"/>
    <w:rsid w:val="006160D2"/>
    <w:rsid w:val="006221C7"/>
    <w:rsid w:val="006A63B2"/>
    <w:rsid w:val="0073461B"/>
    <w:rsid w:val="007C48DA"/>
    <w:rsid w:val="009E4BB7"/>
    <w:rsid w:val="00A45B2D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81153"/>
    <w:rsid w:val="00D10BC0"/>
    <w:rsid w:val="00D8031F"/>
    <w:rsid w:val="00DA4C89"/>
    <w:rsid w:val="00E1375A"/>
    <w:rsid w:val="00E4084E"/>
    <w:rsid w:val="00E60049"/>
    <w:rsid w:val="00E66D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17</cp:revision>
  <dcterms:created xsi:type="dcterms:W3CDTF">2021-04-20T15:36:00Z</dcterms:created>
  <dcterms:modified xsi:type="dcterms:W3CDTF">2024-10-31T10:17:00Z</dcterms:modified>
</cp:coreProperties>
</file>